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Easter Sunday — bylaw-bound Easter Communion in body (Art. VIII §3)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9 AM 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Deadline to pay Jan 1 assessments (100-day grace)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Fr. Cuddy Hall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Family/Knight of the Month selection due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Sacred Heart Icon Program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2027 Maryland State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Princess Royale Oceanfront Resort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2027 Maryland State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Princess Royale Oceanfront Resort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2027 Maryland State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Princess Royale Oceanfront Resort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OLG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